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11/3/14</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Dear Parents,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First of all I would like to thank the parents who planned and help at our Halloween parties!   The activities were so much fun and the children had a great time.  One child stated that it was the best party ever!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This past week the children participate in activities that focused on pumpkins;   how a pumpkins grow.  (seed, sprout, vines, flowers, green, yellow, and finally an orange pumpkin).  They also voted on how to carve our class pumpkin, and estimated how big the pumpkin was using pieces of yarn and unifix cubes.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Just a reminder that this coming week is a short week.  The students only attend on Monday, Tuesday, and Wednesday.  Parent teacher conferences will be held Wednesday evening,Thursday and Friday morning.  I will be sending home a reminder of your parent teacher conference time in your child's folder on Wednesday.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This week we will begin the leg work for our PBL which will begin the week of November 10.  Our next unit of study will be transportation.  Our learning will focus on different types of transportation, things that sink and float and flooding.  If we have rain this week we will be taking a walk outside to see where the rain water goes as a part of our PBL leg work.  Please be sure to dress your child in rain gear or send an umbrella with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We are still in need of items for our PBL project.  We need Popsicle sticks, aluminum foil, tape, cardboard, paper, lids from milk containers, corks, rocks, toothpicks, water bottles, laundry detergent bottles,  buttons, beads, ribbon spools, styrofoam trays and cups, or anything else that you think the students could use to build a boat.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I look forward to meeting with each of you this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11/3/14.docx</dc:title>
</cp:coreProperties>
</file>